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772"/>
        <w:gridCol w:w="75"/>
        <w:gridCol w:w="4110"/>
        <w:gridCol w:w="3451"/>
      </w:tblGrid>
      <w:tr w:rsidR="00000000">
        <w:trPr>
          <w:cantSplit/>
        </w:trPr>
        <w:tc>
          <w:tcPr>
            <w:tcW w:w="10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ind w:left="57" w:right="57"/>
              <w:jc w:val="center"/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Některé úřední značky, značky shody a jiné značky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 w:after="120"/>
              <w:ind w:left="57" w:right="57"/>
              <w:jc w:val="center"/>
            </w:pPr>
            <w:r>
              <w:rPr>
                <w:b/>
                <w:bCs/>
                <w:sz w:val="28"/>
                <w:szCs w:val="28"/>
              </w:rPr>
              <w:t>používané pro označování výsledků metrologických činností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</w:rPr>
              <w:t>značka schválení typu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8"/>
                <w:szCs w:val="48"/>
              </w:rPr>
              <w:t>TCM XXX/YY - ZZZZ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schválení typu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Značka se danému typu měřidla přiřazuje v certifikátu </w:t>
            </w:r>
            <w:r>
              <w:rPr>
                <w:sz w:val="20"/>
                <w:szCs w:val="20"/>
              </w:rPr>
              <w:t xml:space="preserve">schválení typu a je vyznačena na každém exempláři měřidla; značku na měřidlo umístí výrobce (je-li to technicky možné) - na některé druhy měřidel se značka schválení typu nevyznačuje (např. závaží, výčepní nádoby, odměrné sklo apod.) symbol XXX je v praxi </w:t>
            </w:r>
            <w:r>
              <w:rPr>
                <w:sz w:val="20"/>
                <w:szCs w:val="20"/>
              </w:rPr>
              <w:t>nahrazen trojčíslím oboru měření, symbol YY posledním dvojčíslím roku vystavení certifikátu o schválení typu a symbol ZZZZ je nahrazen pořadovým číslem certifikátu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</w:rPr>
              <w:t>úřední značky pro Český metrologický institut (ČMI)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9700" cy="1409700"/>
                  <wp:effectExtent l="0" t="0" r="0" b="0"/>
                  <wp:docPr id="1" name="obrázek 1" descr="c:\Program files\iscmi\web\doc\0031-IS-C_soubory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iscmi\web\doc\0031-IS-C_soubory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úřední značka pro ČMI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Značkou je označeno stanovené měřidlo, které </w:t>
            </w:r>
            <w:r>
              <w:rPr>
                <w:sz w:val="20"/>
                <w:szCs w:val="20"/>
              </w:rPr>
              <w:t>ČMI ověřil; má zpravidla podobu otisku na olověné nebo plastové plombě symbol X je v praxi nahrazen číslem vnitřní organizační jednotky ČMI, která provedla ověření a úřední značku na stanovené měřidlo umístila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1600" cy="1400175"/>
                  <wp:effectExtent l="0" t="0" r="0" b="9525"/>
                  <wp:docPr id="2" name="obrázek 2" descr="c:\Program files\iscmi\web\doc\0031-IS-C_soubory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iscmi\web\doc\0031-IS-C_soubory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posledního dvojčíslí roku ověření stanoveného měřidla jako součást úřední značky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je označeno stanovené měřidlo, které ověřil ČMI; má zpravidla podobu otisku na olov</w:t>
            </w:r>
            <w:r>
              <w:rPr>
                <w:sz w:val="20"/>
                <w:szCs w:val="20"/>
              </w:rPr>
              <w:t>ěné plombě symbol 00 je v praxi nahrazen posledním dvojčíslím roku, ve kterém bylo provedeno ověření stanoveného měřidla (00 = 2000)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43175" cy="1085850"/>
                  <wp:effectExtent l="0" t="0" r="9525" b="0"/>
                  <wp:docPr id="3" name="obrázek 3" descr="c:\Program files\iscmi\web\doc\0031-IS-C_soubory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iscmi\web\doc\0031-IS-C_soubory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úřední značka pro ČMI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označeno stanovené měřidlo, které ČMI ověřil symbol 6 označuje číslo vnitřní organizační jednotky ČMI (6 = OI</w:t>
            </w:r>
            <w:r>
              <w:rPr>
                <w:sz w:val="20"/>
                <w:szCs w:val="20"/>
              </w:rPr>
              <w:t xml:space="preserve"> ČMI Brno), která provedla ověření a úřední značku na stanovené měřidlo umístila symbol 01 označuje poslední dvojčíslí roku, ve kterém bylo provedeno ověření stanoveného měřidla (01 = 2001)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7325" cy="1038225"/>
                  <wp:effectExtent l="0" t="0" r="9525" b="9525"/>
                  <wp:docPr id="4" name="obrázek 4" descr="c:\Program files\iscmi\web\doc\0031-IS-C_soubory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iscmi\web\doc\0031-IS-C_soubory\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úřední značka pro ČMI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Jiné provedení obdobné úřední značky, jako je předchozí</w:t>
            </w:r>
            <w: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i/>
                <w:iCs/>
                <w:sz w:val="20"/>
                <w:szCs w:val="20"/>
              </w:rPr>
              <w:t xml:space="preserve">Pozn.: v reálu na červeném podtisku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752475"/>
                  <wp:effectExtent l="0" t="0" r="0" b="9525"/>
                  <wp:docPr id="5" name="obrázek 5" descr="c:\Program files\iscmi\web\doc\0031-IS-C_soubory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iscmi\web\doc\0031-IS-C_soubory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úřední značka pro ČMI pro měřidlo, o jehož ověření se </w:t>
            </w:r>
            <w:r>
              <w:rPr>
                <w:b/>
                <w:bCs/>
                <w:sz w:val="20"/>
                <w:szCs w:val="20"/>
              </w:rPr>
              <w:t>vystavuje ověřovací list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označeno stanovené měřidlo, které ČMI ověřil symbol 6 označuje číslo vnitřní organizační jednotky ČMI (6 = OI ČMI Brno), která provedla ověření a úřední značku na stanovené měřidlo umí</w:t>
            </w:r>
            <w:r>
              <w:rPr>
                <w:sz w:val="20"/>
                <w:szCs w:val="20"/>
              </w:rPr>
              <w:t>stila do obdélníkového pole uvede ověřující orgán číslo ověřovacího listu, do prázdného kruhového pole se (případně) uvede poslední dvojčíslí roku, ve kterém bylo provedeno ověření stanoveného měřidla</w:t>
            </w:r>
            <w: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i/>
                <w:iCs/>
                <w:sz w:val="20"/>
                <w:szCs w:val="20"/>
              </w:rPr>
              <w:t>Pozn. Pro počítání platnosti ověření je však rozhodují</w:t>
            </w:r>
            <w:r>
              <w:rPr>
                <w:i/>
                <w:iCs/>
                <w:sz w:val="20"/>
                <w:szCs w:val="20"/>
              </w:rPr>
              <w:t xml:space="preserve">cí datum vydání ověřovacího listu.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</w:rPr>
              <w:t>doplňkové značky k úředním značkám pro ČMI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6" name="obrázek 6" descr="c:\Program files\iscmi\web\doc\0031-IS-C_soubory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iscmi\web\doc\0031-IS-C_soubory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hlavní úřední značka ČMI pro měřidlo opatřené více než d</w:t>
            </w:r>
            <w:r>
              <w:rPr>
                <w:b/>
                <w:bCs/>
                <w:sz w:val="20"/>
                <w:szCs w:val="20"/>
              </w:rPr>
              <w:t>věma úředními značkami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se označuje hlavní úřední značka v případě stanovených měřidel s více než dvěma ověřovacími místy (úředními značkami); údaje na hlavní úřední značce jsou rozhodující pro určení roku ověření</w:t>
            </w:r>
            <w:r>
              <w:rPr>
                <w:sz w:val="20"/>
                <w:szCs w:val="20"/>
              </w:rPr>
              <w:t xml:space="preserve"> měřidla (podle dvojčíslí roku uvedeného na hlavní úřední značce se počítá lhůta platnosti ověření stanoveného měřidla jako celku)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0" cy="3143250"/>
                  <wp:effectExtent l="0" t="0" r="0" b="0"/>
                  <wp:docPr id="7" name="obrázek 7" descr="c:\Program files\iscmi\web\doc\0031-IS-C_soubory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iscmi\web\doc\0031-IS-C_soubory\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orientační značka ČMI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označeno stanovené měřidlo, které ČMI ověřil a řádně označil stanovenými úředními značkami tato orientační znač</w:t>
            </w:r>
            <w:r>
              <w:rPr>
                <w:sz w:val="20"/>
                <w:szCs w:val="20"/>
              </w:rPr>
              <w:t>ka informuje veřejnost o vnitřní organizační jednotce ČMI, která provedla ověření a úřední značku na stanovené měřidlo umístila, uvádí kontaktní údaje dále obsahuje proštípnutím vyznačené dvojčíslí roku, ve kterém uplyne doba platnosti ověření (neskončí-li</w:t>
            </w:r>
            <w:r>
              <w:rPr>
                <w:sz w:val="20"/>
                <w:szCs w:val="20"/>
              </w:rPr>
              <w:t xml:space="preserve"> platnost ověření z jiného důvodu podle § 7 odst. 2 vyhlášky MPO č. 262/2000 Sb. v platném znění) </w:t>
            </w:r>
          </w:p>
        </w:tc>
      </w:tr>
      <w:tr w:rsidR="00000000">
        <w:trPr>
          <w:cantSplit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8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71775" cy="1647825"/>
                  <wp:effectExtent l="0" t="0" r="9525" b="9525"/>
                  <wp:docPr id="8" name="obrázek 8" descr="c:\Program files\iscmi\web\doc\0031-IS-C_soubory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iscmi\web\doc\0031-IS-C_soubory\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zakazující používání stanoveného měřidla, které není platně ověřeno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Značkou v provedení jako samolepicí štítek je označeno stanovené měřidlo, které nebylo předloženo k ověření a </w:t>
            </w:r>
            <w:r>
              <w:rPr>
                <w:sz w:val="20"/>
                <w:szCs w:val="20"/>
              </w:rPr>
              <w:t>je užíváno bez platného ověření (</w:t>
            </w:r>
            <w:r>
              <w:rPr>
                <w:i/>
                <w:iCs/>
                <w:sz w:val="20"/>
                <w:szCs w:val="20"/>
              </w:rPr>
              <w:t xml:space="preserve"> zpravidla zjištěno při státním metrologickém dozoru</w:t>
            </w:r>
            <w:r>
              <w:rPr>
                <w:sz w:val="20"/>
                <w:szCs w:val="20"/>
              </w:rPr>
              <w:t xml:space="preserve"> ) nebo při metrologických zkouškách v rámci ověřování nevyhovělo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97A6C"/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86075" cy="2209800"/>
                  <wp:effectExtent l="0" t="0" r="9525" b="0"/>
                  <wp:docPr id="9" name="obrázek 9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zakazující používání stanoveného měřidla, které není platně ověřeno -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>novější provedení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9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i/>
                <w:iCs/>
              </w:rPr>
              <w:t>neobsazeno</w:t>
            </w:r>
            <w:r>
              <w:t xml:space="preserve">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</w:rPr>
              <w:t xml:space="preserve">úřední </w:t>
            </w:r>
            <w:r>
              <w:rPr>
                <w:b/>
                <w:bCs/>
              </w:rPr>
              <w:t>značky pro autorizované subjekty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38325" cy="981075"/>
                  <wp:effectExtent l="0" t="0" r="9525" b="9525"/>
                  <wp:docPr id="10" name="obrázek 10" descr="c:\Program files\iscmi\web\doc\0031-IS-C_soubory\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\iscmi\web\doc\0031-IS-C_soubory\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úřední značka pro autorizované metrologické středisko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Touto značkou v provedení jako samolepicí štítek je označeno stanovené měřidlo, které autorizovaný subjekt ověřil symbol 001 </w:t>
            </w:r>
            <w:r>
              <w:rPr>
                <w:sz w:val="20"/>
                <w:szCs w:val="20"/>
              </w:rPr>
              <w:t>je číslem přiděleným autorizovanému subjektu ÚNMZ symbol 01 označuje poslední dvojčíslí roku, ve kterém bylo provedeno ověření stanoveného měřidla (01 = 2001)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1476375"/>
                  <wp:effectExtent l="0" t="0" r="0" b="9525"/>
                  <wp:docPr id="11" name="obrázek 11" descr="c:\Program files\iscmi\web\doc\0031-IS-C_soubory\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iscmi\web\doc\0031-IS-C_soubory\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úřední značka pro autorizované metrologické středisko - tachografy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Touto značkou v provedení jako samolepicí štítek je označen tachograf, který autorizovaný subjekt ověřil symbol X je číslem přiděleným autorizovanému subjektu ÚNMZ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i/>
                <w:iCs/>
                <w:sz w:val="20"/>
                <w:szCs w:val="20"/>
              </w:rPr>
              <w:t>Pozn.: v reálu na modrém podtisku</w:t>
            </w:r>
            <w:r>
              <w:rPr>
                <w:i/>
                <w:iCs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9225" cy="1419225"/>
                  <wp:effectExtent l="0" t="0" r="9525" b="9525"/>
                  <wp:docPr id="12" name="obrázek 12" descr="c:\Program files\iscmi\web\doc\0031-IS-C_soubory\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rogram files\iscmi\web\doc\0031-IS-C_soubory\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úřední značka pro autorizované metrologické středisko - tachografy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je označen tachograf (případně část vozidla), který autorizovaný subjekt ověřil; má zpravidla podobu oti</w:t>
            </w:r>
            <w:r>
              <w:rPr>
                <w:sz w:val="20"/>
                <w:szCs w:val="20"/>
              </w:rPr>
              <w:t>sku na olověné nebo plastové plombě symbol X je v praxi nahrazen číslem přiděleným autorizovanému subjektu ÚNMZ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1600" cy="1400175"/>
                  <wp:effectExtent l="0" t="0" r="0" b="9525"/>
                  <wp:docPr id="13" name="obrázek 13" descr="c:\Program files\iscmi\web\doc\0031-IS-C_soubory\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rogram files\iscmi\web\doc\0031-IS-C_soubory\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posledního dvojčíslí roku ověření stanoveného měřidla jako součást úřední značky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je označen tachograf (případně část vozidla), které ověřilo AMS; má zpravidla podob</w:t>
            </w:r>
            <w:r>
              <w:rPr>
                <w:sz w:val="20"/>
                <w:szCs w:val="20"/>
              </w:rPr>
              <w:t>u otisku na olověné plombě symbol 00 je v praxi nahrazen posledním dvojčíslím roku, ve kterém bylo provedeno ověření tachografu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47775" cy="1162050"/>
                  <wp:effectExtent l="0" t="0" r="9525" b="0"/>
                  <wp:docPr id="14" name="obrázek 14" descr="c:\Program files\iscmi\web\doc\0031-IS-C_soubory\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rogram files\iscmi\web\doc\0031-IS-C_soubory\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hlavní úřední značka AMS pro měřidlo opatřené více než dvěma úředními značkami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</w:t>
            </w:r>
            <w:r>
              <w:rPr>
                <w:sz w:val="20"/>
                <w:szCs w:val="20"/>
              </w:rPr>
              <w:t>provedení jako samolepicí štítek se označuje hlavní úřední značka v případě stanovených měřidel s více než dvěma ověřovacími místy (úředními značkami); údaje na hlavní úřední značce jsou rozhodující pro určení roku ověření měřidla (podle dvojčíslí roku uve</w:t>
            </w:r>
            <w:r>
              <w:rPr>
                <w:sz w:val="20"/>
                <w:szCs w:val="20"/>
              </w:rPr>
              <w:t>deného na hlavní úřední značce se počítá lhůta platnosti ověření stanoveného měřidla jako celku)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</w:rPr>
              <w:t>značky shody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15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1625" cy="704850"/>
                  <wp:effectExtent l="0" t="0" r="9525" b="0"/>
                  <wp:docPr id="15" name="obrázek 15" descr="c:\Program files\iscmi\web\doc\0031-IS-C_soubory\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rogram files\iscmi\web\doc\0031-IS-C_soubory\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shody s evropskou platností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ES značkou shody je označen výrobek (měřidlo), který splňuje požadavky příslušné evropské směrnice a je uváděn na trh stanoveným postupem </w:t>
            </w:r>
            <w:r>
              <w:rPr>
                <w:sz w:val="20"/>
                <w:szCs w:val="20"/>
              </w:rPr>
              <w:t>značka shody je doplněna dvojčíslím roku, ve kterém byla na výrobek umístěna (04 = 2004)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16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2075" cy="733425"/>
                  <wp:effectExtent l="0" t="0" r="9525" b="9525"/>
                  <wp:docPr id="16" name="obrázek 16" descr="c:\Program files\iscmi\web\doc\0031-IS-C_soubory\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rogram files\iscmi\web\doc\0031-IS-C_soubory\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notifikované osoby (autorizované osoby)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Souvisí s předchozí ES značkou shody, k níž se připojuje a číslem identifikuje notifikovanou (autorizovanou) osobu, která provedla posouzení</w:t>
            </w:r>
            <w:r>
              <w:rPr>
                <w:sz w:val="20"/>
                <w:szCs w:val="20"/>
              </w:rPr>
              <w:t xml:space="preserve"> shody výrobku (měřidla) s požadavky příslušné evropské směrnice nebo posouzení systému jakosti výrobce </w:t>
            </w:r>
            <w:r>
              <w:rPr>
                <w:i/>
                <w:iCs/>
                <w:sz w:val="20"/>
                <w:szCs w:val="20"/>
              </w:rPr>
              <w:t>(ČMI má jako notifikovaná osoba číslo 1383).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7275" cy="1038225"/>
                  <wp:effectExtent l="0" t="0" r="9525" b="9525"/>
                  <wp:docPr id="17" name="obrázek 17" descr="c:\Program files\iscmi\web\doc\0031-IS-C_soubory\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Program files\iscmi\web\doc\0031-IS-C_soubory\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shody s požadavky na měřidla pro specifikované použití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Souvi</w:t>
            </w:r>
            <w:r>
              <w:rPr>
                <w:sz w:val="20"/>
                <w:szCs w:val="20"/>
              </w:rPr>
              <w:t xml:space="preserve">sí s předchozími ES značkami, k nimž se připojuje; značka identifikuje měřidlo, které splňuje požadavky evropských směrnic na měřidla používaná v tzv. regulované sféře, t.j. v závazkových a podobných vztazích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18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857250"/>
                  <wp:effectExtent l="0" t="0" r="9525" b="0"/>
                  <wp:docPr id="18" name="obrázek 18" descr="c:\Program files\iscmi\web\doc\0031-IS-C_soubory\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rogram files\iscmi\web\doc\0031-IS-C_soubory\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Vc"/>
              <w:ind w:right="72"/>
            </w:pPr>
            <w:r>
              <w:rPr>
                <w:b/>
                <w:bCs/>
                <w:sz w:val="20"/>
                <w:szCs w:val="20"/>
                <w:u w:val="none"/>
              </w:rPr>
              <w:t> symbol omezeného používání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Souvisí s předchozími ES značkami. Značka musí být připevněna na zařízení, které je připojeno k měřicímu přístroji (u něhož </w:t>
            </w:r>
            <w:r>
              <w:rPr>
                <w:sz w:val="20"/>
                <w:szCs w:val="20"/>
              </w:rPr>
              <w:t>se prohlašuje shoda) nebo je součástí měřicího přístroje , ale nebylo předmětem posouzení shody.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</w:pPr>
            <w:r>
              <w:rPr>
                <w:sz w:val="20"/>
                <w:szCs w:val="20"/>
              </w:rPr>
              <w:t>komentář pro veřejnost k položkám č. 15, 16, 17 a 18</w:t>
            </w:r>
            <w:r>
              <w:t xml:space="preserve"> </w:t>
            </w:r>
          </w:p>
        </w:tc>
        <w:tc>
          <w:tcPr>
            <w:tcW w:w="7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Se značkami uvedenými pod těmito položkami se můžete setkat již dnes, a to na vahách s neautomat</w:t>
            </w:r>
            <w:r>
              <w:rPr>
                <w:sz w:val="20"/>
                <w:szCs w:val="20"/>
              </w:rPr>
              <w:t xml:space="preserve">ickou činností (to jsou zjednodušeně řečeno váhy, na něž obsluha ručně vloží vážený produkt, odečte indikovanou naměřenou hmotnost a ručně zvážený produkt sejme). ČMI je autorizovanou osobou pro příslušné činnosti při uvádění vah s neautomatickou činností </w:t>
            </w:r>
            <w:r>
              <w:rPr>
                <w:sz w:val="20"/>
                <w:szCs w:val="20"/>
              </w:rPr>
              <w:t>do oběhu a má přiděleno číslo 250, se kterým se tedy také budete setkávat. Po zavedení, resp. uvedení v účinnost evropských směrnic stanovujících metrologické a technické požadavky na další druhy měřidel (směrnice starého a nového přístupu) se s těmito sym</w:t>
            </w:r>
            <w:r>
              <w:rPr>
                <w:sz w:val="20"/>
                <w:szCs w:val="20"/>
              </w:rPr>
              <w:t>boly setkáte i u jiných druhů stanovených měřidel.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19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t> 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5850" cy="952500"/>
                  <wp:effectExtent l="0" t="0" r="0" b="0"/>
                  <wp:docPr id="19" name="obrázek 19" descr="c:\Program files\iscmi\web\doc\0031-IS-C_soubory\image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rogram files\iscmi\web\doc\0031-IS-C_soubory\image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značka shody s požadavky na hotově balené zboží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Tato značka se připojuje k údaji o jmenovitém množství (hmotnosti, objemu) hotově baleného výrobku (viz odpovědi k této oblasti) </w:t>
            </w:r>
            <w:r>
              <w:rPr>
                <w:sz w:val="20"/>
                <w:szCs w:val="20"/>
              </w:rPr>
              <w:t>značku je oprávněn na obal uvést subjekt, který splnil požadavky zákona o metrologii a příslušných vyhlášek MPO a poskytuje stanovené záruky ve vztahu k průměrnému i jednotlivému množství výrobku v balení (příslušné vyhlášky MPO transponují do právního řád</w:t>
            </w:r>
            <w:r>
              <w:rPr>
                <w:sz w:val="20"/>
                <w:szCs w:val="20"/>
              </w:rPr>
              <w:t>u ČR požadavky evropských směrnic pro tuto oblast)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</w:pPr>
            <w:r>
              <w:rPr>
                <w:sz w:val="20"/>
                <w:szCs w:val="20"/>
              </w:rPr>
              <w:t>komentář pro laickou veřejnost k položce č. 19</w:t>
            </w:r>
            <w:r>
              <w:t xml:space="preserve"> </w:t>
            </w:r>
          </w:p>
        </w:tc>
        <w:tc>
          <w:tcPr>
            <w:tcW w:w="7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Se symbolem e se můžete setkat na obalech výrobků při nákupu zejména potravin, pracích, hygienických a kosmetických prostředků a dalších výrobků. Po</w:t>
            </w:r>
            <w:r>
              <w:rPr>
                <w:sz w:val="20"/>
                <w:szCs w:val="20"/>
              </w:rPr>
              <w:t>žadavky související s oprávněným používáním tohoto symbolu jsou významným nástrojem ochrany spotřebitele, neboť garantují s vysokou a jasně stanovenou pravděpodobností dodržení správného množství výrobku v balení, a to jak nepřekročení stanovených zápornýc</w:t>
            </w:r>
            <w:r>
              <w:rPr>
                <w:sz w:val="20"/>
                <w:szCs w:val="20"/>
              </w:rPr>
              <w:t>h odchylek jednotlivých balení, tak požadavků na průměrné množství výrobku v balení, rovné nebo vyšší než uvedená jmenovitá hodnota na obale. Výrobce nebo dovozce takto označeného výrobku podléhá metrologické kontrole, která se zaměřuje na posouzení systém</w:t>
            </w:r>
            <w:r>
              <w:rPr>
                <w:sz w:val="20"/>
                <w:szCs w:val="20"/>
              </w:rPr>
              <w:t>u jeho vlastní kontroly při balení produktu a stanovených kritérií shody, ale zahrnuje i provedení fyzické kontroly dávek výrobků vybraných neočekávaně a náhodně podle stanovených rámcových zásad. Identický způsob ochrany spotřebitele je aplikován v EU!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ind w:left="57" w:right="57"/>
              <w:jc w:val="center"/>
            </w:pPr>
            <w:r>
              <w:t> </w:t>
            </w:r>
          </w:p>
          <w:p w:rsidR="00000000" w:rsidRDefault="00397A6C">
            <w:pPr>
              <w:pStyle w:val="Zkladntext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1238250"/>
                  <wp:effectExtent l="0" t="0" r="0" b="0"/>
                  <wp:docPr id="20" name="obrázek 20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7A6C">
            <w:pPr>
              <w:pStyle w:val="Zkladntext"/>
              <w:ind w:left="57" w:right="57"/>
              <w:jc w:val="center"/>
            </w:pPr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ind w:left="73"/>
            </w:pPr>
            <w:r>
              <w:rPr>
                <w:b/>
                <w:bCs/>
                <w:sz w:val="20"/>
                <w:szCs w:val="20"/>
              </w:rPr>
              <w:t>značka EHS schválení typu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>(s evropskou platností)</w:t>
            </w:r>
            <w: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je označeno měřidlo, jehož typ byl schválen postupy podle tzv. směrnic starého přístupu (v ČR podle vyhlášky MPO č. 332</w:t>
            </w:r>
            <w:r>
              <w:rPr>
                <w:sz w:val="20"/>
                <w:szCs w:val="20"/>
              </w:rPr>
              <w:t>/2000 Sb. a technických vyhlášek s ní souvisejících); CZ = symbol státu, ve kterém byl typ schválen (CZ = Česká republika), 04 = poslední dvojčíslí roku vydání certifikátu EHS schválení typu, symbol „y“ je v praxi nahrazen kódem schválení typu (EHS schvále</w:t>
            </w:r>
            <w:r>
              <w:rPr>
                <w:sz w:val="20"/>
                <w:szCs w:val="20"/>
              </w:rPr>
              <w:t>ní typu provádí v ČR ČMI, který číslo přidělí)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</w:pPr>
            <w:r>
              <w:rPr>
                <w:b/>
                <w:bCs/>
                <w:sz w:val="40"/>
                <w:szCs w:val="40"/>
              </w:rPr>
              <w:t>21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ind w:left="57" w:right="57"/>
              <w:jc w:val="center"/>
            </w:pPr>
            <w:r>
              <w:t> </w:t>
            </w:r>
          </w:p>
          <w:p w:rsidR="00000000" w:rsidRDefault="00397A6C">
            <w:pPr>
              <w:pStyle w:val="Zkladntext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1028700"/>
                  <wp:effectExtent l="0" t="0" r="0" b="0"/>
                  <wp:docPr id="21" name="obrázek 21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7A6C">
            <w:pPr>
              <w:pStyle w:val="Zkladntext"/>
              <w:ind w:left="57" w:right="57"/>
              <w:jc w:val="center"/>
            </w:pPr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ind w:left="73"/>
            </w:pPr>
            <w:r>
              <w:rPr>
                <w:b/>
                <w:bCs/>
                <w:sz w:val="20"/>
                <w:szCs w:val="20"/>
              </w:rPr>
              <w:t>značka prvotního EHS ověření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>- 1. část - (též značka tzv. dílčího EHS ověření)</w:t>
            </w:r>
            <w: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Značkou v provedení jako samolepicí štítek nebo plomba (označena jedna strana plomby) je označeno </w:t>
            </w:r>
            <w:r>
              <w:rPr>
                <w:sz w:val="20"/>
                <w:szCs w:val="20"/>
              </w:rPr>
              <w:t>měřidlo, jehož prvotní EHS ověření (resp. část prvotního EHS ověření) provedl ČMI nebo AMS s příslušnou autorizací. Symbol CZ označuje stát (CZ = Česká republika), symbol "X" je v praxi nahrazen číslem, které ČMI (jeho vnitřní organizační jednotce) nebo AM</w:t>
            </w:r>
            <w:r>
              <w:rPr>
                <w:sz w:val="20"/>
                <w:szCs w:val="20"/>
              </w:rPr>
              <w:t>S přidělil ÚNMZ.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</w:pPr>
            <w:r>
              <w:rPr>
                <w:b/>
                <w:bCs/>
                <w:sz w:val="40"/>
                <w:szCs w:val="40"/>
              </w:rPr>
              <w:t>22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ind w:left="57" w:right="57"/>
              <w:jc w:val="center"/>
            </w:pPr>
            <w:r>
              <w:t> </w:t>
            </w:r>
          </w:p>
          <w:p w:rsidR="00000000" w:rsidRDefault="00397A6C">
            <w:pPr>
              <w:pStyle w:val="Zkladntext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1123950"/>
                  <wp:effectExtent l="0" t="0" r="0" b="0"/>
                  <wp:docPr id="22" name="obrázek 22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97A6C">
            <w:pPr>
              <w:pStyle w:val="Zkladntext"/>
              <w:ind w:left="57" w:right="57"/>
              <w:jc w:val="center"/>
            </w:pPr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ind w:left="73"/>
            </w:pPr>
            <w:r>
              <w:rPr>
                <w:b/>
                <w:bCs/>
                <w:sz w:val="20"/>
                <w:szCs w:val="20"/>
              </w:rPr>
              <w:t>značka prvotního EHS ověření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  <w:szCs w:val="20"/>
              </w:rPr>
              <w:t>- 2. část</w:t>
            </w:r>
            <w: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nebo plomba (označena zbývající - dru</w:t>
            </w:r>
            <w:r>
              <w:rPr>
                <w:sz w:val="20"/>
                <w:szCs w:val="20"/>
              </w:rPr>
              <w:t xml:space="preserve">há strana plomby) je označeno měřidlo, jehož prvotní EHS ověření (resp. část prvotního EHS ověření) provedl ČMI nebo AMS s příslušnou autorizací. V praxi je uvnitř symbolu uvedeno poslední dvojčíslím roku, v němž bylo prvotní EHS ověření měřidla provedeno </w:t>
            </w:r>
            <w:r>
              <w:rPr>
                <w:sz w:val="20"/>
                <w:szCs w:val="20"/>
              </w:rPr>
              <w:t>(resp. dokončeno).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2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</w:pPr>
            <w:r>
              <w:rPr>
                <w:sz w:val="20"/>
                <w:szCs w:val="20"/>
              </w:rPr>
              <w:t>komentář k položkám č. 20 a 21</w:t>
            </w:r>
            <w:r>
              <w:t xml:space="preserve"> </w:t>
            </w:r>
          </w:p>
        </w:tc>
        <w:tc>
          <w:tcPr>
            <w:tcW w:w="7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r>
              <w:rPr>
                <w:sz w:val="20"/>
                <w:szCs w:val="20"/>
              </w:rPr>
              <w:t>Prvotní EHS ověření je dokončeno a platné pouze při označení oběma značkami. Z praktických důvodů se proto plomby označující dílčí EHS ověření, které jsou označeny pouze jednostranně, po dokončení</w:t>
            </w:r>
            <w:r>
              <w:rPr>
                <w:sz w:val="20"/>
                <w:szCs w:val="20"/>
              </w:rPr>
              <w:t xml:space="preserve"> všech zkoušek odstraní a nahradí oboustranně označenými plombami prvotního EHS ověření.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</w:rPr>
              <w:t>kalibrační značky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1247775"/>
                  <wp:effectExtent l="0" t="0" r="0" b="9525"/>
                  <wp:docPr id="23" name="obrázek 23" descr="c:\Program files\iscmi\web\doc\0031-IS-C_soubory\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Program files\iscmi\web\doc\0031-IS-C_soubory\image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kalibrační značka střediska kalibrační služby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označen etalon nebo pracovní měřidlo, který středisko kalibrační služby kalibrovalo pís</w:t>
            </w:r>
            <w:r>
              <w:rPr>
                <w:sz w:val="20"/>
                <w:szCs w:val="20"/>
              </w:rPr>
              <w:t>meno C symbolizuje středisko kalibrační služby, číslo 60 označuje identifikační číslo střediska kalibrační služby, které kalibraci provedlo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71650" cy="1028700"/>
                  <wp:effectExtent l="0" t="0" r="0" b="0"/>
                  <wp:docPr id="24" name="obrázek 24" descr="Velke logo C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elke logo C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Vc"/>
              <w:ind w:left="73" w:right="72"/>
            </w:pPr>
            <w:r>
              <w:rPr>
                <w:b/>
                <w:bCs/>
                <w:sz w:val="20"/>
                <w:szCs w:val="20"/>
                <w:u w:val="none"/>
              </w:rPr>
              <w:t>kalibrační značka Českého metrologického institutu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označen etalon nebo pracovní měřidlo, který kalibrovalo některé z pracovišť ČMI. T</w:t>
            </w:r>
            <w:r>
              <w:rPr>
                <w:sz w:val="20"/>
                <w:szCs w:val="20"/>
              </w:rPr>
              <w:t>uto značku začal ČMI používat k 1.1.2005 namísto kalibrační značky uvedené výše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25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47825" cy="1104900"/>
                  <wp:effectExtent l="0" t="0" r="9525" b="0"/>
                  <wp:docPr id="25" name="obrázek 25" descr="CMI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MI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Vc"/>
              <w:ind w:left="73" w:right="72"/>
            </w:pPr>
            <w:r>
              <w:rPr>
                <w:b/>
                <w:bCs/>
                <w:sz w:val="20"/>
                <w:szCs w:val="20"/>
                <w:u w:val="none"/>
              </w:rPr>
              <w:t>kalibrační značka Českého metrologického institutu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 xml:space="preserve">Značkou v provedení jako samolepicí štítek je označen etalon nebo pracovní měřidlo, který kalibrovalo některé z pracovišť </w:t>
            </w:r>
            <w:r>
              <w:rPr>
                <w:sz w:val="20"/>
                <w:szCs w:val="20"/>
              </w:rPr>
              <w:t>ČMI. Tuto značku začal ČMI používat k 1.1.2005 namísto kalibrační značky uvedené výše. V tomto provedení je doplněna posledním dvojčíslím roku, ve kterém byla kalibrace provedena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26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0" cy="1104900"/>
                  <wp:effectExtent l="0" t="0" r="0" b="0"/>
                  <wp:docPr id="26" name="obrázek 26" descr="c:\Program files\iscmi\web\doc\0031-IS-C_soubory\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iscmi\web\doc\0031-IS-C_soubory\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kalibrační značka ČMI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označen etalon nebo pracovní měřidlo, který ČMI kalibroval v </w:t>
            </w:r>
            <w:r>
              <w:rPr>
                <w:sz w:val="20"/>
                <w:szCs w:val="20"/>
              </w:rPr>
              <w:t>horním obdélníkovém poli se uvede číslo kalibračního listu, v dolním poli datum kalibrace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52825" cy="1171575"/>
                  <wp:effectExtent l="0" t="0" r="9525" b="9525"/>
                  <wp:docPr id="27" name="obrázek 27" descr="c:\Program files\iscmi\web\doc\0031-IS-C_soubory\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Program files\iscmi\web\doc\0031-IS-C_soubory\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doplňková značka ke kalibrační značce ČMI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označen etalon nebo pracovní měřidlo, jehož kalibraci ČMI (po dohodě s uživatelem) neprováděl v úplném měřicím rozsahu kalibrovanéh</w:t>
            </w:r>
            <w:r>
              <w:rPr>
                <w:sz w:val="20"/>
                <w:szCs w:val="20"/>
              </w:rPr>
              <w:t>o měřidla</w:t>
            </w:r>
            <w: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</w:rPr>
              <w:t>nezařazené značky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b/>
                <w:bCs/>
                <w:sz w:val="40"/>
                <w:szCs w:val="40"/>
              </w:rPr>
              <w:t>28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0" cy="1009650"/>
                  <wp:effectExtent l="0" t="0" r="0" b="0"/>
                  <wp:docPr id="28" name="obrázek 28" descr="c:\Program files\iscmi\web\doc\0031-IS-C_soubory\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Program files\iscmi\web\doc\0031-IS-C_soubory\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b/>
                <w:bCs/>
                <w:sz w:val="20"/>
                <w:szCs w:val="20"/>
              </w:rPr>
              <w:t>doplňková značka ČMI</w:t>
            </w:r>
            <w:r>
              <w:rPr>
                <w:b/>
                <w:bCs/>
              </w:rPr>
              <w:t xml:space="preserve"> </w:t>
            </w:r>
          </w:p>
          <w:p w:rsidR="00000000" w:rsidRDefault="00397A6C">
            <w:pPr>
              <w:pStyle w:val="Zkladntext"/>
              <w:spacing w:before="0"/>
              <w:ind w:left="57" w:right="57"/>
              <w:jc w:val="left"/>
            </w:pPr>
            <w:r>
              <w:rPr>
                <w:sz w:val="20"/>
                <w:szCs w:val="20"/>
              </w:rPr>
              <w:t>Značkou v provedení jako samolepicí štítek je upozorněn uživatel měřidla na nutnost provést před měřením justáž (nastavení) měřidla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</w:pPr>
            <w:r>
              <w:t> </w:t>
            </w:r>
          </w:p>
        </w:tc>
      </w:tr>
      <w:tr w:rsidR="00000000">
        <w:trPr>
          <w:cantSplit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00000" w:rsidRDefault="00397A6C">
            <w:pPr>
              <w:pStyle w:val="Zkladntext"/>
              <w:spacing w:before="0"/>
              <w:ind w:left="57" w:right="57"/>
            </w:pPr>
            <w:r>
              <w:rPr>
                <w:sz w:val="20"/>
                <w:szCs w:val="20"/>
              </w:rPr>
              <w:t>Poznámka:</w:t>
            </w:r>
            <w:r>
              <w:rPr>
                <w:sz w:val="20"/>
                <w:szCs w:val="20"/>
              </w:rPr>
              <w:t xml:space="preserve"> zobrazení značek neodpovídá jejich praktické velikosti!</w:t>
            </w:r>
            <w:r>
              <w:t xml:space="preserve"> </w:t>
            </w:r>
          </w:p>
        </w:tc>
      </w:tr>
      <w:tr w:rsidR="00000000">
        <w:tc>
          <w:tcPr>
            <w:tcW w:w="780" w:type="dxa"/>
            <w:vAlign w:val="center"/>
            <w:hideMark/>
          </w:tcPr>
          <w:p w:rsidR="00000000" w:rsidRDefault="00397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  <w:hideMark/>
          </w:tcPr>
          <w:p w:rsidR="00000000" w:rsidRDefault="00397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Align w:val="center"/>
            <w:hideMark/>
          </w:tcPr>
          <w:p w:rsidR="00000000" w:rsidRDefault="00397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  <w:hideMark/>
          </w:tcPr>
          <w:p w:rsidR="00000000" w:rsidRDefault="00397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  <w:hideMark/>
          </w:tcPr>
          <w:p w:rsidR="00000000" w:rsidRDefault="00397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97A6C">
      <w:r>
        <w:t> </w:t>
      </w:r>
    </w:p>
    <w:p w:rsidR="00397A6C" w:rsidRDefault="00397A6C">
      <w:r>
        <w:t> </w:t>
      </w:r>
    </w:p>
    <w:sectPr w:rsidR="00397A6C">
      <w:pgSz w:w="11907" w:h="16840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25CC7E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225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37E4"/>
    <w:rsid w:val="003737E4"/>
    <w:rsid w:val="003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Theme="minorEastAsia" w:hAnsi="Arial" w:cs="Arial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pPr>
      <w:keepNext/>
      <w:spacing w:before="640" w:after="120"/>
      <w:outlineLvl w:val="0"/>
    </w:pPr>
    <w:rPr>
      <w:b/>
      <w:bCs/>
      <w:caps/>
      <w:kern w:val="36"/>
    </w:rPr>
  </w:style>
  <w:style w:type="paragraph" w:styleId="Nadpis2">
    <w:name w:val="heading 2"/>
    <w:basedOn w:val="Normln"/>
    <w:link w:val="Nadpis2Char"/>
    <w:uiPriority w:val="9"/>
    <w:qFormat/>
    <w:pPr>
      <w:keepNext/>
      <w:spacing w:before="240" w:after="120"/>
      <w:ind w:left="720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qFormat/>
    <w:pPr>
      <w:keepNext/>
      <w:spacing w:before="240" w:after="120"/>
      <w:ind w:left="720"/>
      <w:outlineLvl w:val="2"/>
    </w:pPr>
    <w:rPr>
      <w:u w:val="single"/>
    </w:rPr>
  </w:style>
  <w:style w:type="paragraph" w:styleId="Nadpis4">
    <w:name w:val="heading 4"/>
    <w:basedOn w:val="Normln"/>
    <w:link w:val="Nadpis4Char"/>
    <w:uiPriority w:val="9"/>
    <w:qFormat/>
    <w:pPr>
      <w:keepNext/>
      <w:spacing w:before="240" w:after="120"/>
      <w:ind w:left="720"/>
      <w:outlineLvl w:val="3"/>
    </w:pPr>
  </w:style>
  <w:style w:type="paragraph" w:styleId="Nadpis5">
    <w:name w:val="heading 5"/>
    <w:basedOn w:val="Normln"/>
    <w:link w:val="Nadpis5Char"/>
    <w:uiPriority w:val="9"/>
    <w:qFormat/>
    <w:pPr>
      <w:keepNext/>
      <w:spacing w:before="240" w:after="120"/>
      <w:ind w:left="720"/>
      <w:outlineLvl w:val="4"/>
    </w:pPr>
    <w:rPr>
      <w:i/>
      <w:iCs/>
    </w:rPr>
  </w:style>
  <w:style w:type="paragraph" w:styleId="Nadpis6">
    <w:name w:val="heading 6"/>
    <w:basedOn w:val="Normln"/>
    <w:link w:val="Nadpis6Char"/>
    <w:uiPriority w:val="9"/>
    <w:qFormat/>
    <w:pPr>
      <w:keepNext/>
      <w:spacing w:before="240" w:after="120"/>
      <w:ind w:left="720"/>
      <w:outlineLvl w:val="5"/>
    </w:pPr>
    <w:rPr>
      <w:i/>
      <w:iCs/>
    </w:rPr>
  </w:style>
  <w:style w:type="paragraph" w:styleId="Nadpis7">
    <w:name w:val="heading 7"/>
    <w:basedOn w:val="Normln"/>
    <w:link w:val="Nadpis7Char"/>
    <w:uiPriority w:val="9"/>
    <w:qFormat/>
    <w:pPr>
      <w:keepNext/>
      <w:spacing w:before="240" w:after="120"/>
      <w:ind w:left="720"/>
      <w:outlineLvl w:val="6"/>
    </w:pPr>
    <w:rPr>
      <w:i/>
      <w:iCs/>
    </w:rPr>
  </w:style>
  <w:style w:type="paragraph" w:styleId="Nadpis8">
    <w:name w:val="heading 8"/>
    <w:basedOn w:val="Normln"/>
    <w:link w:val="Nadpis8Char"/>
    <w:uiPriority w:val="9"/>
    <w:qFormat/>
    <w:pPr>
      <w:keepNext/>
      <w:spacing w:before="240" w:after="120"/>
      <w:ind w:left="72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qFormat/>
    <w:pPr>
      <w:keepNext/>
      <w:spacing w:before="240" w:after="120"/>
      <w:ind w:left="7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Cambria" w:hAnsi="Cambria" w:hint="default"/>
      <w:b/>
      <w:bCs/>
      <w:color w:val="365F91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Cambria" w:hAnsi="Cambria" w:hint="default"/>
      <w:b/>
      <w:b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hAnsi="Cambria" w:hint="default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mbria" w:hAnsi="Cambria" w:hint="default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mbria" w:hAnsi="Cambria" w:hint="default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hAnsi="Cambria" w:hint="default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hAnsi="Cambria" w:hint="default"/>
      <w:color w:val="40404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hAnsi="Cambria" w:hint="default"/>
      <w:i/>
      <w:iCs/>
      <w:color w:val="404040"/>
    </w:rPr>
  </w:style>
  <w:style w:type="paragraph" w:styleId="Zhlav">
    <w:name w:val="header"/>
    <w:basedOn w:val="Normln"/>
    <w:link w:val="ZhlavChar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Arial" w:hAnsi="Arial" w:cs="Arial" w:hint="default"/>
    </w:rPr>
  </w:style>
  <w:style w:type="paragraph" w:styleId="Zpat">
    <w:name w:val="footer"/>
    <w:basedOn w:val="Normln"/>
    <w:link w:val="ZpatChar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Arial" w:hAnsi="Arial" w:cs="Arial" w:hint="default"/>
    </w:rPr>
  </w:style>
  <w:style w:type="paragraph" w:styleId="Titulek">
    <w:name w:val="caption"/>
    <w:basedOn w:val="Normln"/>
    <w:uiPriority w:val="35"/>
    <w:qFormat/>
    <w:pPr>
      <w:shd w:val="clear" w:color="auto" w:fill="00FF00"/>
      <w:jc w:val="center"/>
    </w:pPr>
    <w:rPr>
      <w:b/>
      <w:bCs/>
      <w:sz w:val="24"/>
      <w:szCs w:val="24"/>
    </w:rPr>
  </w:style>
  <w:style w:type="paragraph" w:styleId="Seznamsodrkami5">
    <w:name w:val="List Bullet 5"/>
    <w:basedOn w:val="Normln"/>
    <w:uiPriority w:val="99"/>
    <w:semiHidden/>
    <w:unhideWhenUsed/>
    <w:pPr>
      <w:spacing w:after="240"/>
      <w:ind w:left="2160"/>
    </w:pPr>
  </w:style>
  <w:style w:type="paragraph" w:styleId="Nzev">
    <w:name w:val="Title"/>
    <w:basedOn w:val="Normln"/>
    <w:link w:val="NzevChar"/>
    <w:uiPriority w:val="10"/>
    <w:qFormat/>
    <w:pPr>
      <w:shd w:val="clear" w:color="auto" w:fill="FF9900"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="Cambria" w:hAnsi="Cambria" w:hint="default"/>
      <w:color w:val="17365D"/>
      <w:spacing w:val="5"/>
    </w:rPr>
  </w:style>
  <w:style w:type="paragraph" w:styleId="Zkladntext">
    <w:name w:val="Body Text"/>
    <w:basedOn w:val="Normln"/>
    <w:link w:val="ZkladntextChar"/>
    <w:uiPriority w:val="99"/>
    <w:unhideWhenUsed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Arial" w:hAnsi="Arial" w:cs="Arial" w:hint="defaul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Arial" w:hAnsi="Arial" w:cs="Arial" w:hint="defaul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ind w:left="708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ascii="Arial" w:hAnsi="Arial" w:cs="Arial" w:hint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 w:hint="default"/>
    </w:rPr>
  </w:style>
  <w:style w:type="paragraph" w:customStyle="1" w:styleId="Adresaadresta">
    <w:name w:val="Adresa adresáta"/>
    <w:basedOn w:val="Normln"/>
    <w:pPr>
      <w:spacing w:before="60"/>
    </w:pPr>
    <w:rPr>
      <w:b/>
      <w:bCs/>
    </w:rPr>
  </w:style>
  <w:style w:type="paragraph" w:customStyle="1" w:styleId="Obrzek">
    <w:name w:val="Obrázek"/>
    <w:basedOn w:val="Normln"/>
    <w:pPr>
      <w:keepNext/>
      <w:spacing w:after="240"/>
      <w:ind w:left="4680"/>
    </w:pPr>
  </w:style>
  <w:style w:type="paragraph" w:customStyle="1" w:styleId="Vc">
    <w:name w:val="Věc"/>
    <w:basedOn w:val="Normln"/>
    <w:rPr>
      <w:sz w:val="24"/>
      <w:szCs w:val="24"/>
      <w:u w:val="single"/>
    </w:rPr>
  </w:style>
  <w:style w:type="paragraph" w:customStyle="1" w:styleId="Podpis1">
    <w:name w:val="Podpis 1"/>
    <w:basedOn w:val="Normln"/>
    <w:rPr>
      <w:spacing w:val="40"/>
    </w:rPr>
  </w:style>
  <w:style w:type="paragraph" w:customStyle="1" w:styleId="Podpis2">
    <w:name w:val="Podpis 2"/>
    <w:basedOn w:val="Normln"/>
  </w:style>
  <w:style w:type="paragraph" w:customStyle="1" w:styleId="msochpdefault">
    <w:name w:val="msochpdefault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ornindex">
    <w:name w:val="Horní index"/>
    <w:basedOn w:val="Standardnpsmoodstavce"/>
    <w:rPr>
      <w:rFonts w:ascii="Arial" w:hAnsi="Arial" w:cs="Arial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Theme="minorEastAsia" w:hAnsi="Arial" w:cs="Arial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pPr>
      <w:keepNext/>
      <w:spacing w:before="640" w:after="120"/>
      <w:outlineLvl w:val="0"/>
    </w:pPr>
    <w:rPr>
      <w:b/>
      <w:bCs/>
      <w:caps/>
      <w:kern w:val="36"/>
    </w:rPr>
  </w:style>
  <w:style w:type="paragraph" w:styleId="Nadpis2">
    <w:name w:val="heading 2"/>
    <w:basedOn w:val="Normln"/>
    <w:link w:val="Nadpis2Char"/>
    <w:uiPriority w:val="9"/>
    <w:qFormat/>
    <w:pPr>
      <w:keepNext/>
      <w:spacing w:before="240" w:after="120"/>
      <w:ind w:left="720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qFormat/>
    <w:pPr>
      <w:keepNext/>
      <w:spacing w:before="240" w:after="120"/>
      <w:ind w:left="720"/>
      <w:outlineLvl w:val="2"/>
    </w:pPr>
    <w:rPr>
      <w:u w:val="single"/>
    </w:rPr>
  </w:style>
  <w:style w:type="paragraph" w:styleId="Nadpis4">
    <w:name w:val="heading 4"/>
    <w:basedOn w:val="Normln"/>
    <w:link w:val="Nadpis4Char"/>
    <w:uiPriority w:val="9"/>
    <w:qFormat/>
    <w:pPr>
      <w:keepNext/>
      <w:spacing w:before="240" w:after="120"/>
      <w:ind w:left="720"/>
      <w:outlineLvl w:val="3"/>
    </w:pPr>
  </w:style>
  <w:style w:type="paragraph" w:styleId="Nadpis5">
    <w:name w:val="heading 5"/>
    <w:basedOn w:val="Normln"/>
    <w:link w:val="Nadpis5Char"/>
    <w:uiPriority w:val="9"/>
    <w:qFormat/>
    <w:pPr>
      <w:keepNext/>
      <w:spacing w:before="240" w:after="120"/>
      <w:ind w:left="720"/>
      <w:outlineLvl w:val="4"/>
    </w:pPr>
    <w:rPr>
      <w:i/>
      <w:iCs/>
    </w:rPr>
  </w:style>
  <w:style w:type="paragraph" w:styleId="Nadpis6">
    <w:name w:val="heading 6"/>
    <w:basedOn w:val="Normln"/>
    <w:link w:val="Nadpis6Char"/>
    <w:uiPriority w:val="9"/>
    <w:qFormat/>
    <w:pPr>
      <w:keepNext/>
      <w:spacing w:before="240" w:after="120"/>
      <w:ind w:left="720"/>
      <w:outlineLvl w:val="5"/>
    </w:pPr>
    <w:rPr>
      <w:i/>
      <w:iCs/>
    </w:rPr>
  </w:style>
  <w:style w:type="paragraph" w:styleId="Nadpis7">
    <w:name w:val="heading 7"/>
    <w:basedOn w:val="Normln"/>
    <w:link w:val="Nadpis7Char"/>
    <w:uiPriority w:val="9"/>
    <w:qFormat/>
    <w:pPr>
      <w:keepNext/>
      <w:spacing w:before="240" w:after="120"/>
      <w:ind w:left="720"/>
      <w:outlineLvl w:val="6"/>
    </w:pPr>
    <w:rPr>
      <w:i/>
      <w:iCs/>
    </w:rPr>
  </w:style>
  <w:style w:type="paragraph" w:styleId="Nadpis8">
    <w:name w:val="heading 8"/>
    <w:basedOn w:val="Normln"/>
    <w:link w:val="Nadpis8Char"/>
    <w:uiPriority w:val="9"/>
    <w:qFormat/>
    <w:pPr>
      <w:keepNext/>
      <w:spacing w:before="240" w:after="120"/>
      <w:ind w:left="72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qFormat/>
    <w:pPr>
      <w:keepNext/>
      <w:spacing w:before="240" w:after="120"/>
      <w:ind w:left="7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Cambria" w:hAnsi="Cambria" w:hint="default"/>
      <w:b/>
      <w:bCs/>
      <w:color w:val="365F91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Cambria" w:hAnsi="Cambria" w:hint="default"/>
      <w:b/>
      <w:b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hAnsi="Cambria" w:hint="default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mbria" w:hAnsi="Cambria" w:hint="default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mbria" w:hAnsi="Cambria" w:hint="default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hAnsi="Cambria" w:hint="default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hAnsi="Cambria" w:hint="default"/>
      <w:color w:val="40404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hAnsi="Cambria" w:hint="default"/>
      <w:i/>
      <w:iCs/>
      <w:color w:val="404040"/>
    </w:rPr>
  </w:style>
  <w:style w:type="paragraph" w:styleId="Zhlav">
    <w:name w:val="header"/>
    <w:basedOn w:val="Normln"/>
    <w:link w:val="ZhlavChar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Arial" w:hAnsi="Arial" w:cs="Arial" w:hint="default"/>
    </w:rPr>
  </w:style>
  <w:style w:type="paragraph" w:styleId="Zpat">
    <w:name w:val="footer"/>
    <w:basedOn w:val="Normln"/>
    <w:link w:val="ZpatChar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Arial" w:hAnsi="Arial" w:cs="Arial" w:hint="default"/>
    </w:rPr>
  </w:style>
  <w:style w:type="paragraph" w:styleId="Titulek">
    <w:name w:val="caption"/>
    <w:basedOn w:val="Normln"/>
    <w:uiPriority w:val="35"/>
    <w:qFormat/>
    <w:pPr>
      <w:shd w:val="clear" w:color="auto" w:fill="00FF00"/>
      <w:jc w:val="center"/>
    </w:pPr>
    <w:rPr>
      <w:b/>
      <w:bCs/>
      <w:sz w:val="24"/>
      <w:szCs w:val="24"/>
    </w:rPr>
  </w:style>
  <w:style w:type="paragraph" w:styleId="Seznamsodrkami5">
    <w:name w:val="List Bullet 5"/>
    <w:basedOn w:val="Normln"/>
    <w:uiPriority w:val="99"/>
    <w:semiHidden/>
    <w:unhideWhenUsed/>
    <w:pPr>
      <w:spacing w:after="240"/>
      <w:ind w:left="2160"/>
    </w:pPr>
  </w:style>
  <w:style w:type="paragraph" w:styleId="Nzev">
    <w:name w:val="Title"/>
    <w:basedOn w:val="Normln"/>
    <w:link w:val="NzevChar"/>
    <w:uiPriority w:val="10"/>
    <w:qFormat/>
    <w:pPr>
      <w:shd w:val="clear" w:color="auto" w:fill="FF9900"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="Cambria" w:hAnsi="Cambria" w:hint="default"/>
      <w:color w:val="17365D"/>
      <w:spacing w:val="5"/>
    </w:rPr>
  </w:style>
  <w:style w:type="paragraph" w:styleId="Zkladntext">
    <w:name w:val="Body Text"/>
    <w:basedOn w:val="Normln"/>
    <w:link w:val="ZkladntextChar"/>
    <w:uiPriority w:val="99"/>
    <w:unhideWhenUsed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Arial" w:hAnsi="Arial" w:cs="Arial" w:hint="defaul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Arial" w:hAnsi="Arial" w:cs="Arial" w:hint="defaul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ind w:left="708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ascii="Arial" w:hAnsi="Arial" w:cs="Arial" w:hint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 w:hint="default"/>
    </w:rPr>
  </w:style>
  <w:style w:type="paragraph" w:customStyle="1" w:styleId="Adresaadresta">
    <w:name w:val="Adresa adresáta"/>
    <w:basedOn w:val="Normln"/>
    <w:pPr>
      <w:spacing w:before="60"/>
    </w:pPr>
    <w:rPr>
      <w:b/>
      <w:bCs/>
    </w:rPr>
  </w:style>
  <w:style w:type="paragraph" w:customStyle="1" w:styleId="Obrzek">
    <w:name w:val="Obrázek"/>
    <w:basedOn w:val="Normln"/>
    <w:pPr>
      <w:keepNext/>
      <w:spacing w:after="240"/>
      <w:ind w:left="4680"/>
    </w:pPr>
  </w:style>
  <w:style w:type="paragraph" w:customStyle="1" w:styleId="Vc">
    <w:name w:val="Věc"/>
    <w:basedOn w:val="Normln"/>
    <w:rPr>
      <w:sz w:val="24"/>
      <w:szCs w:val="24"/>
      <w:u w:val="single"/>
    </w:rPr>
  </w:style>
  <w:style w:type="paragraph" w:customStyle="1" w:styleId="Podpis1">
    <w:name w:val="Podpis 1"/>
    <w:basedOn w:val="Normln"/>
    <w:rPr>
      <w:spacing w:val="40"/>
    </w:rPr>
  </w:style>
  <w:style w:type="paragraph" w:customStyle="1" w:styleId="Podpis2">
    <w:name w:val="Podpis 2"/>
    <w:basedOn w:val="Normln"/>
  </w:style>
  <w:style w:type="paragraph" w:customStyle="1" w:styleId="msochpdefault">
    <w:name w:val="msochpdefault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ornindex">
    <w:name w:val="Horní index"/>
    <w:basedOn w:val="Standardnpsmoodstavce"/>
    <w:rPr>
      <w:rFonts w:ascii="Arial" w:hAnsi="Arial" w:cs="Arial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ogram%20files\iscmi\web\doc\0031-IS-C_soubory\image003.jpg" TargetMode="External"/><Relationship Id="rId13" Type="http://schemas.openxmlformats.org/officeDocument/2006/relationships/image" Target="file:///c:\Program%20files\iscmi\web\doc\0031-IS-C_soubory\image008.jpg" TargetMode="External"/><Relationship Id="rId18" Type="http://schemas.openxmlformats.org/officeDocument/2006/relationships/image" Target="file:///c:\Program%20files\iscmi\web\doc\0031-IS-C_soubory\image013.jpg" TargetMode="External"/><Relationship Id="rId26" Type="http://schemas.openxmlformats.org/officeDocument/2006/relationships/image" Target="file:///c:\Program%20files\iscmi\web\doc\0031-IS-C_soubory\image021.jpg" TargetMode="External"/><Relationship Id="rId3" Type="http://schemas.microsoft.com/office/2007/relationships/stylesWithEffects" Target="stylesWithEffects.xml"/><Relationship Id="rId21" Type="http://schemas.openxmlformats.org/officeDocument/2006/relationships/image" Target="file:///c:\Program%20files\iscmi\web\doc\0031-IS-C_soubory\image016.jpg" TargetMode="External"/><Relationship Id="rId34" Type="http://schemas.openxmlformats.org/officeDocument/2006/relationships/fontTable" Target="fontTable.xml"/><Relationship Id="rId7" Type="http://schemas.openxmlformats.org/officeDocument/2006/relationships/image" Target="file:///c:\Program%20files\iscmi\web\doc\0031-IS-C_soubory\image002.jpg" TargetMode="External"/><Relationship Id="rId12" Type="http://schemas.openxmlformats.org/officeDocument/2006/relationships/image" Target="file:///c:\Program%20files\iscmi\web\doc\0031-IS-C_soubory\image007.jpg" TargetMode="External"/><Relationship Id="rId17" Type="http://schemas.openxmlformats.org/officeDocument/2006/relationships/image" Target="file:///c:\Program%20files\iscmi\web\doc\0031-IS-C_soubory\image012.jpg" TargetMode="External"/><Relationship Id="rId25" Type="http://schemas.openxmlformats.org/officeDocument/2006/relationships/image" Target="file:///c:\Program%20files\iscmi\web\doc\0031-IS-C_soubory\image020.jpg" TargetMode="External"/><Relationship Id="rId33" Type="http://schemas.openxmlformats.org/officeDocument/2006/relationships/image" Target="file:///c:\Program%20files\iscmi\web\doc\0031-IS-C_soubory\image028.jpg" TargetMode="External"/><Relationship Id="rId2" Type="http://schemas.openxmlformats.org/officeDocument/2006/relationships/styles" Target="styles.xml"/><Relationship Id="rId16" Type="http://schemas.openxmlformats.org/officeDocument/2006/relationships/image" Target="file:///c:\Program%20files\iscmi\web\doc\0031-IS-C_soubory\image011.jpg" TargetMode="External"/><Relationship Id="rId20" Type="http://schemas.openxmlformats.org/officeDocument/2006/relationships/image" Target="file:///c:\Program%20files\iscmi\web\doc\0031-IS-C_soubory\image015.jpg" TargetMode="External"/><Relationship Id="rId29" Type="http://schemas.openxmlformats.org/officeDocument/2006/relationships/image" Target="file:///c:\Program%20files\iscmi\web\doc\0031-IS-C_soubory\image024.jpg" TargetMode="External"/><Relationship Id="rId1" Type="http://schemas.openxmlformats.org/officeDocument/2006/relationships/numbering" Target="numbering.xml"/><Relationship Id="rId6" Type="http://schemas.openxmlformats.org/officeDocument/2006/relationships/image" Target="file:///c:\Program%20files\iscmi\web\doc\0031-IS-C_soubory\image001.jpg" TargetMode="External"/><Relationship Id="rId11" Type="http://schemas.openxmlformats.org/officeDocument/2006/relationships/image" Target="file:///c:\Program%20files\iscmi\web\doc\0031-IS-C_soubory\image006.jpg" TargetMode="External"/><Relationship Id="rId24" Type="http://schemas.openxmlformats.org/officeDocument/2006/relationships/image" Target="file:///c:\Program%20files\iscmi\web\doc\0031-IS-C_soubory\image019.jpg" TargetMode="External"/><Relationship Id="rId32" Type="http://schemas.openxmlformats.org/officeDocument/2006/relationships/image" Target="file:///c:\Program%20files\iscmi\web\doc\0031-IS-C_soubory\image027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Program%20files\iscmi\web\doc\0031-IS-C_soubory\image010.jpg" TargetMode="External"/><Relationship Id="rId23" Type="http://schemas.openxmlformats.org/officeDocument/2006/relationships/image" Target="file:///c:\Program%20files\iscmi\web\doc\0031-IS-C_soubory\image018.jpg" TargetMode="External"/><Relationship Id="rId28" Type="http://schemas.openxmlformats.org/officeDocument/2006/relationships/image" Target="file:///c:\Program%20files\iscmi\web\doc\0031-IS-C_soubory\image023.jpg" TargetMode="External"/><Relationship Id="rId10" Type="http://schemas.openxmlformats.org/officeDocument/2006/relationships/image" Target="file:///c:\Program%20files\iscmi\web\doc\0031-IS-C_soubory\image005.jpg" TargetMode="External"/><Relationship Id="rId19" Type="http://schemas.openxmlformats.org/officeDocument/2006/relationships/image" Target="file:///c:\Program%20files\iscmi\web\doc\0031-IS-C_soubory\image014.gif" TargetMode="External"/><Relationship Id="rId31" Type="http://schemas.openxmlformats.org/officeDocument/2006/relationships/image" Target="file:///c:\Program%20files\iscmi\web\doc\0031-IS-C_soubory\image026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Program%20files\iscmi\web\doc\0031-IS-C_soubory\image004.jpg" TargetMode="External"/><Relationship Id="rId14" Type="http://schemas.openxmlformats.org/officeDocument/2006/relationships/image" Target="file:///c:\Program%20files\iscmi\web\doc\0031-IS-C_soubory\image009.jpg" TargetMode="External"/><Relationship Id="rId22" Type="http://schemas.openxmlformats.org/officeDocument/2006/relationships/image" Target="file:///c:\Program%20files\iscmi\web\doc\0031-IS-C_soubory\image017.jpg" TargetMode="External"/><Relationship Id="rId27" Type="http://schemas.openxmlformats.org/officeDocument/2006/relationships/image" Target="file:///c:\Program%20files\iscmi\web\doc\0031-IS-C_soubory\image022.jpg" TargetMode="External"/><Relationship Id="rId30" Type="http://schemas.openxmlformats.org/officeDocument/2006/relationships/image" Target="file:///c:\Program%20files\iscmi\web\doc\0031-IS-C_soubory\image025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jposvar</dc:creator>
  <cp:lastModifiedBy>jposvar</cp:lastModifiedBy>
  <cp:revision>2</cp:revision>
  <dcterms:created xsi:type="dcterms:W3CDTF">2014-10-15T05:54:00Z</dcterms:created>
  <dcterms:modified xsi:type="dcterms:W3CDTF">2014-10-15T05:54:00Z</dcterms:modified>
</cp:coreProperties>
</file>